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630D" w14:textId="77777777" w:rsidR="00E51073" w:rsidRPr="003E5BC0" w:rsidRDefault="00000000" w:rsidP="003E5BC0">
      <w:pPr>
        <w:adjustRightInd w:val="0"/>
        <w:snapToGrid w:val="0"/>
        <w:rPr>
          <w:rFonts w:ascii="仿宋_GB2312" w:eastAsia="仿宋_GB2312" w:hAnsi="仿宋_GB2312" w:cs="仿宋_GB2312" w:hint="eastAsia"/>
          <w:b/>
        </w:rPr>
      </w:pPr>
      <w:r w:rsidRPr="003E5BC0">
        <w:rPr>
          <w:rFonts w:ascii="仿宋_GB2312" w:eastAsia="仿宋_GB2312" w:hAnsi="仿宋_GB2312" w:cs="仿宋_GB2312" w:hint="eastAsia"/>
          <w:b/>
        </w:rPr>
        <w:t>一、搬迁需求</w:t>
      </w:r>
    </w:p>
    <w:p w14:paraId="2E50CF8D" w14:textId="77777777" w:rsidR="00E51073" w:rsidRDefault="00000000">
      <w:pPr>
        <w:spacing w:line="360" w:lineRule="auto"/>
        <w:ind w:firstLineChars="200" w:firstLine="482"/>
        <w:rPr>
          <w:rFonts w:hint="eastAsia"/>
        </w:rPr>
      </w:pPr>
      <w:r>
        <w:rPr>
          <w:rFonts w:hint="eastAsia"/>
          <w:b/>
          <w:bCs/>
        </w:rPr>
        <w:t>概述：</w:t>
      </w:r>
      <w:r>
        <w:t>从</w:t>
      </w:r>
      <w:r>
        <w:rPr>
          <w:rFonts w:hint="eastAsia"/>
        </w:rPr>
        <w:t>五号楼</w:t>
      </w:r>
      <w:r>
        <w:t>1楼101实训室搬运</w:t>
      </w:r>
      <w:r>
        <w:rPr>
          <w:rFonts w:hint="eastAsia"/>
        </w:rPr>
        <w:t>设备至八号楼</w:t>
      </w:r>
      <w:r>
        <w:t>1楼，搬运的距离大概500米左右，需要负责拆卸、搬运、安装调试</w:t>
      </w:r>
      <w:r>
        <w:rPr>
          <w:rFonts w:hint="eastAsia"/>
        </w:rPr>
        <w:t>。由于</w:t>
      </w:r>
      <w:r>
        <w:t>两个实训楼出口门比较小，VR行走平台、存储货架、流利货架、自动化立体仓库均需要拆成散件搬运</w:t>
      </w:r>
      <w:r>
        <w:rPr>
          <w:rFonts w:hint="eastAsia"/>
        </w:rPr>
        <w:t>。</w:t>
      </w:r>
    </w:p>
    <w:p w14:paraId="6D37285D" w14:textId="77777777" w:rsidR="00E51073" w:rsidRDefault="00000000">
      <w:pPr>
        <w:spacing w:line="360" w:lineRule="auto"/>
        <w:ind w:firstLineChars="200" w:firstLine="482"/>
        <w:rPr>
          <w:rFonts w:hint="eastAsia"/>
          <w:b/>
          <w:bCs/>
        </w:rPr>
      </w:pPr>
      <w:r>
        <w:rPr>
          <w:rFonts w:hint="eastAsia"/>
          <w:b/>
          <w:bCs/>
        </w:rPr>
        <w:t>设备清单梳理如下：</w:t>
      </w:r>
    </w:p>
    <w:tbl>
      <w:tblPr>
        <w:tblW w:w="7083" w:type="dxa"/>
        <w:jc w:val="center"/>
        <w:tblLook w:val="04A0" w:firstRow="1" w:lastRow="0" w:firstColumn="1" w:lastColumn="0" w:noHBand="0" w:noVBand="1"/>
      </w:tblPr>
      <w:tblGrid>
        <w:gridCol w:w="1017"/>
        <w:gridCol w:w="2260"/>
        <w:gridCol w:w="1017"/>
        <w:gridCol w:w="1017"/>
        <w:gridCol w:w="1772"/>
      </w:tblGrid>
      <w:tr w:rsidR="00E51073" w14:paraId="60587B02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4774F" w14:textId="77777777" w:rsidR="00E51073" w:rsidRDefault="00000000">
            <w:pPr>
              <w:spacing w:line="360" w:lineRule="auto"/>
              <w:jc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217E5" w14:textId="77777777" w:rsidR="00E51073" w:rsidRDefault="00000000">
            <w:pPr>
              <w:spacing w:line="360" w:lineRule="auto"/>
              <w:jc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货品名称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CB9251" w14:textId="77777777" w:rsidR="00E51073" w:rsidRDefault="00000000">
            <w:pPr>
              <w:spacing w:line="360" w:lineRule="auto"/>
              <w:jc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数量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91D5F" w14:textId="77777777" w:rsidR="00E51073" w:rsidRDefault="00000000">
            <w:pPr>
              <w:spacing w:line="360" w:lineRule="auto"/>
              <w:jc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单位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88739" w14:textId="77777777" w:rsidR="00E51073" w:rsidRDefault="00000000">
            <w:pPr>
              <w:spacing w:line="360" w:lineRule="auto"/>
              <w:jc w:val="center"/>
              <w:rPr>
                <w:rFonts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 w:rsidR="00E51073" w14:paraId="023A848E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73EBBF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7C712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VR行走平台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CB85C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096B74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C064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需要重新拆装</w:t>
            </w:r>
          </w:p>
        </w:tc>
      </w:tr>
      <w:tr w:rsidR="00E51073" w14:paraId="32CC6C40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FBE121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8628A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潜伏式搬运机器人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937C7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D99A6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CC2C4E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0625FD34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61AAC4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1010A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线性搬运机器人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19C52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6DEC5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CB09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2D6BC01E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F71B4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A00FA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自动充电桩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B43098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B8EC6B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个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529D5C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50DD9D9C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B615BE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CE180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存储货架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3F6A4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9D741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组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F3C51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需要重新拆装</w:t>
            </w:r>
          </w:p>
        </w:tc>
      </w:tr>
      <w:tr w:rsidR="00E51073" w14:paraId="703ECEEC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F44CBA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05A5B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流利货架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072648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46E19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109C09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需要重新拆装</w:t>
            </w:r>
          </w:p>
        </w:tc>
      </w:tr>
      <w:tr w:rsidR="00E51073" w14:paraId="24891F5B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522C7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40DA0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电子标签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B8B18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C3D4A2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13E8B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51BAD965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4BD20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85102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自动化立体仓库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28B881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3B1397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B62D2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需要重新拆装</w:t>
            </w:r>
          </w:p>
        </w:tc>
      </w:tr>
      <w:tr w:rsidR="00E51073" w14:paraId="4DD040DA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2DFFF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7E71F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智能手持终端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A4D8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7E0A64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6174F1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73488525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4DC69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989397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服务器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62F3D5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0DC0A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76452C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61F65B02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8C651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4CDE39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智能生产可视化大屏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637E0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A804A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870A6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75FAD6A8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E393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6A704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工作台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1ED5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6BE95E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49A28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756B2F20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9DB0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54A7B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电脑桌椅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71278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7C71D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9172E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2B72C605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BE2A6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2D63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条码打印机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51DD7E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AB0404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5CDBD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387744FC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3790B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E782E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周转箱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966F2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33EA36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AD03CA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5A1A823D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9E40E7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CB117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物料箱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28AA8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E3DEE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FA8058" w14:textId="77777777" w:rsidR="00E51073" w:rsidRDefault="00E51073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E51073" w14:paraId="05BDDDDD" w14:textId="77777777">
        <w:trPr>
          <w:trHeight w:val="27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348EF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1CC73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sz w:val="24"/>
                <w:szCs w:val="24"/>
              </w:rPr>
              <w:t>VR六人交互体验机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DD002A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5C216D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套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B2817" w14:textId="77777777" w:rsidR="00E51073" w:rsidRDefault="00000000">
            <w:pPr>
              <w:spacing w:line="360" w:lineRule="auto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需要重新拆装</w:t>
            </w:r>
          </w:p>
        </w:tc>
      </w:tr>
    </w:tbl>
    <w:p w14:paraId="5FF52327" w14:textId="77777777" w:rsidR="00E51073" w:rsidRDefault="00E51073">
      <w:pPr>
        <w:spacing w:line="360" w:lineRule="auto"/>
        <w:rPr>
          <w:rFonts w:hint="eastAsia"/>
        </w:rPr>
      </w:pPr>
    </w:p>
    <w:p w14:paraId="5A526E07" w14:textId="77777777" w:rsidR="00E51073" w:rsidRDefault="00E51073">
      <w:pPr>
        <w:spacing w:line="360" w:lineRule="auto"/>
        <w:rPr>
          <w:rFonts w:hint="eastAsia"/>
          <w:b/>
          <w:bCs/>
        </w:rPr>
      </w:pPr>
    </w:p>
    <w:p w14:paraId="2753DABC" w14:textId="77777777" w:rsidR="00E51073" w:rsidRDefault="00E51073">
      <w:pPr>
        <w:spacing w:line="360" w:lineRule="auto"/>
        <w:rPr>
          <w:rFonts w:hint="eastAsia"/>
          <w:b/>
          <w:bCs/>
        </w:rPr>
      </w:pPr>
    </w:p>
    <w:p w14:paraId="56FB301E" w14:textId="77777777" w:rsidR="00E51073" w:rsidRDefault="00E51073">
      <w:pPr>
        <w:spacing w:line="360" w:lineRule="auto"/>
        <w:rPr>
          <w:rFonts w:hint="eastAsia"/>
          <w:b/>
          <w:bCs/>
        </w:rPr>
      </w:pPr>
    </w:p>
    <w:p w14:paraId="7D71D639" w14:textId="77777777" w:rsidR="00E51073" w:rsidRDefault="00E51073">
      <w:pPr>
        <w:spacing w:line="360" w:lineRule="auto"/>
        <w:rPr>
          <w:rFonts w:hint="eastAsia"/>
          <w:b/>
          <w:bCs/>
        </w:rPr>
      </w:pPr>
    </w:p>
    <w:p w14:paraId="1334350E" w14:textId="77777777" w:rsidR="00E51073" w:rsidRDefault="00000000">
      <w:pPr>
        <w:spacing w:line="360" w:lineRule="auto"/>
        <w:rPr>
          <w:rFonts w:hint="eastAsia"/>
          <w:b/>
          <w:bCs/>
        </w:rPr>
      </w:pPr>
      <w:r>
        <w:rPr>
          <w:rFonts w:hint="eastAsia"/>
          <w:b/>
          <w:bCs/>
        </w:rPr>
        <w:lastRenderedPageBreak/>
        <w:t>现场设备图测算：</w:t>
      </w:r>
    </w:p>
    <w:p w14:paraId="54E426BD" w14:textId="77777777" w:rsidR="00E51073" w:rsidRDefault="00000000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D12FD3E" wp14:editId="3C8A13F5">
            <wp:extent cx="2435511" cy="2072471"/>
            <wp:effectExtent l="0" t="0" r="3175" b="4445"/>
            <wp:docPr id="1026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/>
                  </pic:nvPicPr>
                  <pic:blipFill>
                    <a:blip r:embed="rId6" cstate="print"/>
                    <a:srcRect t="-1527" r="10566"/>
                    <a:stretch/>
                  </pic:blipFill>
                  <pic:spPr>
                    <a:xfrm>
                      <a:off x="0" y="0"/>
                      <a:ext cx="2435511" cy="20724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EF388" w14:textId="77777777" w:rsidR="00E51073" w:rsidRDefault="00000000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82C6F14" wp14:editId="7BAE1A45">
            <wp:extent cx="2912213" cy="2582525"/>
            <wp:effectExtent l="0" t="0" r="2540" b="8890"/>
            <wp:docPr id="1027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/>
                  </pic:nvPicPr>
                  <pic:blipFill>
                    <a:blip r:embed="rId7" cstate="print"/>
                    <a:srcRect l="409" t="-218" r="15227" b="409"/>
                    <a:stretch/>
                  </pic:blipFill>
                  <pic:spPr>
                    <a:xfrm>
                      <a:off x="0" y="0"/>
                      <a:ext cx="2912213" cy="2582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7E34" w14:textId="77777777" w:rsidR="00E51073" w:rsidRDefault="00000000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132B842" wp14:editId="71D3AB18">
            <wp:extent cx="4555782" cy="3414916"/>
            <wp:effectExtent l="0" t="0" r="0" b="0"/>
            <wp:docPr id="1028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555782" cy="34149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1B9B8" w14:textId="77777777" w:rsidR="003E5BC0" w:rsidRDefault="003E5BC0" w:rsidP="003E5BC0">
      <w:pPr>
        <w:adjustRightInd w:val="0"/>
        <w:snapToGrid w:val="0"/>
        <w:rPr>
          <w:rFonts w:ascii="仿宋_GB2312" w:eastAsia="仿宋_GB2312" w:hAnsi="仿宋_GB2312" w:cs="仿宋_GB2312" w:hint="eastAsia"/>
          <w:b/>
        </w:rPr>
      </w:pPr>
      <w:r>
        <w:rPr>
          <w:rFonts w:ascii="仿宋_GB2312" w:eastAsia="仿宋_GB2312" w:hAnsi="仿宋_GB2312" w:cs="仿宋_GB2312" w:hint="eastAsia"/>
          <w:b/>
        </w:rPr>
        <w:lastRenderedPageBreak/>
        <w:t>二、具体参数或建设内容</w:t>
      </w:r>
    </w:p>
    <w:tbl>
      <w:tblPr>
        <w:tblpPr w:leftFromText="180" w:rightFromText="180" w:vertAnchor="text" w:horzAnchor="page" w:tblpXSpec="center" w:tblpY="256"/>
        <w:tblOverlap w:val="never"/>
        <w:tblW w:w="11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332"/>
        <w:gridCol w:w="4935"/>
        <w:gridCol w:w="456"/>
        <w:gridCol w:w="1243"/>
        <w:gridCol w:w="1244"/>
        <w:gridCol w:w="1190"/>
      </w:tblGrid>
      <w:tr w:rsidR="003E5BC0" w14:paraId="016C6DC6" w14:textId="77777777" w:rsidTr="00637BD0">
        <w:trPr>
          <w:trHeight w:val="439"/>
          <w:jc w:val="center"/>
        </w:trPr>
        <w:tc>
          <w:tcPr>
            <w:tcW w:w="791" w:type="dxa"/>
            <w:vMerge w:val="restart"/>
            <w:vAlign w:val="center"/>
          </w:tcPr>
          <w:p w14:paraId="1B4EA37C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u w:val="single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序号</w:t>
            </w:r>
          </w:p>
        </w:tc>
        <w:tc>
          <w:tcPr>
            <w:tcW w:w="1332" w:type="dxa"/>
            <w:vMerge w:val="restart"/>
            <w:vAlign w:val="center"/>
          </w:tcPr>
          <w:p w14:paraId="32E28525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设备名称</w:t>
            </w:r>
          </w:p>
        </w:tc>
        <w:tc>
          <w:tcPr>
            <w:tcW w:w="4935" w:type="dxa"/>
            <w:vMerge w:val="restart"/>
            <w:vAlign w:val="center"/>
          </w:tcPr>
          <w:p w14:paraId="371A9FA7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u w:val="single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品牌规格型号</w:t>
            </w:r>
          </w:p>
        </w:tc>
        <w:tc>
          <w:tcPr>
            <w:tcW w:w="2943" w:type="dxa"/>
            <w:gridSpan w:val="3"/>
            <w:vAlign w:val="center"/>
          </w:tcPr>
          <w:p w14:paraId="136BA0E3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u w:val="single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项目预算</w:t>
            </w:r>
          </w:p>
        </w:tc>
        <w:tc>
          <w:tcPr>
            <w:tcW w:w="1190" w:type="dxa"/>
            <w:vAlign w:val="center"/>
          </w:tcPr>
          <w:p w14:paraId="2307E86D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备注</w:t>
            </w:r>
          </w:p>
        </w:tc>
      </w:tr>
      <w:tr w:rsidR="003E5BC0" w14:paraId="6C4692A0" w14:textId="77777777" w:rsidTr="00637BD0">
        <w:trPr>
          <w:trHeight w:val="439"/>
          <w:jc w:val="center"/>
        </w:trPr>
        <w:tc>
          <w:tcPr>
            <w:tcW w:w="791" w:type="dxa"/>
            <w:vMerge/>
            <w:vAlign w:val="center"/>
          </w:tcPr>
          <w:p w14:paraId="37BC060B" w14:textId="77777777" w:rsidR="003E5BC0" w:rsidRDefault="003E5BC0" w:rsidP="00637BD0"/>
        </w:tc>
        <w:tc>
          <w:tcPr>
            <w:tcW w:w="1332" w:type="dxa"/>
            <w:vMerge/>
            <w:vAlign w:val="center"/>
          </w:tcPr>
          <w:p w14:paraId="4340A7EB" w14:textId="77777777" w:rsidR="003E5BC0" w:rsidRDefault="003E5BC0" w:rsidP="00637BD0"/>
        </w:tc>
        <w:tc>
          <w:tcPr>
            <w:tcW w:w="4935" w:type="dxa"/>
            <w:vMerge/>
            <w:vAlign w:val="center"/>
          </w:tcPr>
          <w:p w14:paraId="2276B219" w14:textId="77777777" w:rsidR="003E5BC0" w:rsidRDefault="003E5BC0" w:rsidP="00637BD0"/>
        </w:tc>
        <w:tc>
          <w:tcPr>
            <w:tcW w:w="456" w:type="dxa"/>
            <w:vAlign w:val="center"/>
          </w:tcPr>
          <w:p w14:paraId="3E9B26C0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数量</w:t>
            </w:r>
          </w:p>
        </w:tc>
        <w:tc>
          <w:tcPr>
            <w:tcW w:w="1243" w:type="dxa"/>
            <w:vAlign w:val="center"/>
          </w:tcPr>
          <w:p w14:paraId="612A5A0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单价</w:t>
            </w:r>
          </w:p>
        </w:tc>
        <w:tc>
          <w:tcPr>
            <w:tcW w:w="1244" w:type="dxa"/>
            <w:vAlign w:val="center"/>
          </w:tcPr>
          <w:p w14:paraId="30CCCD4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预算金额</w:t>
            </w:r>
          </w:p>
        </w:tc>
        <w:tc>
          <w:tcPr>
            <w:tcW w:w="1190" w:type="dxa"/>
            <w:vAlign w:val="center"/>
          </w:tcPr>
          <w:p w14:paraId="3BEC1DF8" w14:textId="77777777" w:rsidR="003E5BC0" w:rsidRDefault="003E5BC0" w:rsidP="00637BD0"/>
        </w:tc>
      </w:tr>
      <w:tr w:rsidR="003E5BC0" w14:paraId="3C69766A" w14:textId="77777777" w:rsidTr="00637BD0">
        <w:trPr>
          <w:trHeight w:val="456"/>
          <w:jc w:val="center"/>
        </w:trPr>
        <w:tc>
          <w:tcPr>
            <w:tcW w:w="791" w:type="dxa"/>
            <w:vAlign w:val="center"/>
          </w:tcPr>
          <w:p w14:paraId="6A73F4AA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</w:t>
            </w:r>
          </w:p>
        </w:tc>
        <w:tc>
          <w:tcPr>
            <w:tcW w:w="1332" w:type="dxa"/>
            <w:vAlign w:val="center"/>
          </w:tcPr>
          <w:p w14:paraId="7D7E175D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中大型设备拆卸</w:t>
            </w:r>
          </w:p>
        </w:tc>
        <w:tc>
          <w:tcPr>
            <w:tcW w:w="4935" w:type="dxa"/>
            <w:vAlign w:val="center"/>
          </w:tcPr>
          <w:p w14:paraId="6953436B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一、拆卸设备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包含流利货架、无动力滚筒、4组AGV货架、自动化立体仓库、AGV充电桩。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二、设备详情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1.流利货架、无动力滚筒：整体规格 1500×1000×1900mm 双层钢结构流利货架，配套3000mm 无动力滚筒输送线，用于原料暂存、拣选周转，承载实训物料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箱完成先进先出拣货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作业；设备整体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尺寸超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实训室出入口通行宽度，设备搬迁，无法出入实训室门，需要拆卸后搬运。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2.4组AGV存储货架：单组货架尺寸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920×920×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1800mm，四层双面拣选钢制货架，配套塑料物料箱，为潜伏式、线性 AGV 提供货到人存储点位，支撑仓储入库、补货实训；设备整体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尺寸超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实训室出入口通行宽度，设备搬迁，无法出入实训室门，需要拆卸后搬运。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3.AGV 充电桩：适配</w:t>
            </w:r>
            <w:proofErr w:type="spell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MegBot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系列潜伏 / 线性搬运机器人自动充电设备，支持DC38-60V自动对接充电，保障AGV长时间实训续航；设备整机固定在地面上，需要拆卸后搬运。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 xml:space="preserve">4.自动化立体仓库：整机尺寸≥3000×1350×2200mm，集成堆垛机、38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仓储库位、出入库输送线、PLC 控制系统，完成自动化出入库、库存盘点实训；整机长宽高超出实训室门洞通行极限，设备搬迁，无法出入实训室门，需要拆卸后搬运。</w:t>
            </w:r>
          </w:p>
        </w:tc>
        <w:tc>
          <w:tcPr>
            <w:tcW w:w="456" w:type="dxa"/>
            <w:vAlign w:val="center"/>
          </w:tcPr>
          <w:p w14:paraId="3A4E4ACB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1套</w:t>
            </w:r>
          </w:p>
        </w:tc>
        <w:tc>
          <w:tcPr>
            <w:tcW w:w="1243" w:type="dxa"/>
            <w:vAlign w:val="center"/>
          </w:tcPr>
          <w:p w14:paraId="68982F4D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7900</w:t>
            </w:r>
          </w:p>
        </w:tc>
        <w:tc>
          <w:tcPr>
            <w:tcW w:w="1244" w:type="dxa"/>
            <w:vAlign w:val="center"/>
          </w:tcPr>
          <w:p w14:paraId="315B89D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7900</w:t>
            </w:r>
          </w:p>
        </w:tc>
        <w:tc>
          <w:tcPr>
            <w:tcW w:w="1190" w:type="dxa"/>
            <w:vAlign w:val="center"/>
          </w:tcPr>
          <w:p w14:paraId="1FC3FA63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1年售后质保服务</w:t>
            </w:r>
          </w:p>
        </w:tc>
      </w:tr>
      <w:tr w:rsidR="003E5BC0" w14:paraId="0D60C5B6" w14:textId="77777777" w:rsidTr="00637BD0">
        <w:trPr>
          <w:trHeight w:val="482"/>
          <w:jc w:val="center"/>
        </w:trPr>
        <w:tc>
          <w:tcPr>
            <w:tcW w:w="791" w:type="dxa"/>
            <w:vAlign w:val="center"/>
          </w:tcPr>
          <w:p w14:paraId="34F0A12B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2</w:t>
            </w:r>
          </w:p>
        </w:tc>
        <w:tc>
          <w:tcPr>
            <w:tcW w:w="1332" w:type="dxa"/>
            <w:vAlign w:val="center"/>
          </w:tcPr>
          <w:p w14:paraId="0E63AE3D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生产物流设备安装调试</w:t>
            </w:r>
          </w:p>
        </w:tc>
        <w:tc>
          <w:tcPr>
            <w:tcW w:w="4935" w:type="dxa"/>
            <w:vAlign w:val="center"/>
          </w:tcPr>
          <w:p w14:paraId="212015CE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一、安装部署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1.潜伏式搬运机器人、线性搬运机器人整机就位安装，完成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二维码导航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码、地面定位标识铺设，充电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桩固定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接线，完成机器人供电、通信硬件对接；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2.4 组AGV存储货架、流利货架、无动力滚筒输送线、拣选工作台、生产加工工位、电子标签拣选系统、手持终端、打印设备、可视化大屏、服务器、实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训电脑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全部按新场地布局图纸定位组装、固定、布线；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二、系统调试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lastRenderedPageBreak/>
              <w:t>1.对AGV设备、调度系统、业务系统调试，确保实训流程的顺利；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2.对摘果式电子标签拣选设备以及系统调试，可以进行拣选业务实训；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3.对补货、成品出入库实训设备、系统调试，可以进行相关业务操作。</w:t>
            </w:r>
          </w:p>
        </w:tc>
        <w:tc>
          <w:tcPr>
            <w:tcW w:w="456" w:type="dxa"/>
            <w:vAlign w:val="center"/>
          </w:tcPr>
          <w:p w14:paraId="66F149CA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lastRenderedPageBreak/>
              <w:t>1套</w:t>
            </w:r>
          </w:p>
        </w:tc>
        <w:tc>
          <w:tcPr>
            <w:tcW w:w="1243" w:type="dxa"/>
            <w:vAlign w:val="center"/>
          </w:tcPr>
          <w:p w14:paraId="51A8AEF0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12000</w:t>
            </w:r>
          </w:p>
        </w:tc>
        <w:tc>
          <w:tcPr>
            <w:tcW w:w="1244" w:type="dxa"/>
            <w:vAlign w:val="center"/>
          </w:tcPr>
          <w:p w14:paraId="4F4BFDE2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12000</w:t>
            </w:r>
          </w:p>
        </w:tc>
        <w:tc>
          <w:tcPr>
            <w:tcW w:w="1190" w:type="dxa"/>
            <w:vAlign w:val="center"/>
          </w:tcPr>
          <w:p w14:paraId="3157B8FE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1年售后质保服务</w:t>
            </w:r>
          </w:p>
        </w:tc>
      </w:tr>
      <w:tr w:rsidR="003E5BC0" w14:paraId="0C2D66F6" w14:textId="77777777" w:rsidTr="00637BD0">
        <w:trPr>
          <w:trHeight w:val="482"/>
          <w:jc w:val="center"/>
        </w:trPr>
        <w:tc>
          <w:tcPr>
            <w:tcW w:w="791" w:type="dxa"/>
            <w:vAlign w:val="center"/>
          </w:tcPr>
          <w:p w14:paraId="548D9E00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3</w:t>
            </w:r>
          </w:p>
        </w:tc>
        <w:tc>
          <w:tcPr>
            <w:tcW w:w="1332" w:type="dxa"/>
            <w:vAlign w:val="center"/>
          </w:tcPr>
          <w:p w14:paraId="57F33965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自动化立体仓库安装调试</w:t>
            </w:r>
          </w:p>
        </w:tc>
        <w:tc>
          <w:tcPr>
            <w:tcW w:w="4935" w:type="dxa"/>
            <w:vAlign w:val="center"/>
          </w:tcPr>
          <w:p w14:paraId="28EDB7E7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1.将原场地完整拆卸拆分后的自动化立体仓库进行组装，可能包含铝型材框架、堆垛机伺服驱动组件、出入库皮带输送线、PLC 主控模块、RFID 读写识别模块、限位传感装置、配套电气控制元器件等等，按照新场地平面布局图纸精准对位重新拼装搭建；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2.完成堆垛机行走、升降、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货叉三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轴伺服机构校准，库位微动检测点位接线调试，工业交换机、24V 电源、接触器、继电器整套电控系统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接线组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网，保障立体仓库可独立完成仓储自动化实训任务；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3.打通立体仓库与仓储管理系统数据通信接口，完成入库、出库、盘点、移库全流程联动测试，匹配整体智慧生产物流实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训业务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流程。</w:t>
            </w:r>
          </w:p>
        </w:tc>
        <w:tc>
          <w:tcPr>
            <w:tcW w:w="456" w:type="dxa"/>
            <w:vAlign w:val="center"/>
          </w:tcPr>
          <w:p w14:paraId="42B4D516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1套</w:t>
            </w:r>
          </w:p>
        </w:tc>
        <w:tc>
          <w:tcPr>
            <w:tcW w:w="1243" w:type="dxa"/>
            <w:vAlign w:val="center"/>
          </w:tcPr>
          <w:p w14:paraId="2E5F815D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30000</w:t>
            </w:r>
          </w:p>
        </w:tc>
        <w:tc>
          <w:tcPr>
            <w:tcW w:w="1244" w:type="dxa"/>
            <w:vAlign w:val="center"/>
          </w:tcPr>
          <w:p w14:paraId="20F2947E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30000</w:t>
            </w:r>
          </w:p>
        </w:tc>
        <w:tc>
          <w:tcPr>
            <w:tcW w:w="1190" w:type="dxa"/>
            <w:vAlign w:val="center"/>
          </w:tcPr>
          <w:p w14:paraId="15377919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1年售后质保服务</w:t>
            </w:r>
          </w:p>
        </w:tc>
      </w:tr>
      <w:tr w:rsidR="003E5BC0" w14:paraId="5CDEA83F" w14:textId="77777777" w:rsidTr="00637BD0">
        <w:trPr>
          <w:trHeight w:val="482"/>
          <w:jc w:val="center"/>
        </w:trPr>
        <w:tc>
          <w:tcPr>
            <w:tcW w:w="791" w:type="dxa"/>
            <w:vAlign w:val="center"/>
          </w:tcPr>
          <w:p w14:paraId="44D3ABA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4</w:t>
            </w:r>
          </w:p>
        </w:tc>
        <w:tc>
          <w:tcPr>
            <w:tcW w:w="1332" w:type="dxa"/>
            <w:vAlign w:val="center"/>
          </w:tcPr>
          <w:p w14:paraId="076D200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VR行走平台</w:t>
            </w:r>
          </w:p>
        </w:tc>
        <w:tc>
          <w:tcPr>
            <w:tcW w:w="4935" w:type="dxa"/>
            <w:vAlign w:val="center"/>
          </w:tcPr>
          <w:p w14:paraId="007277C6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1.单台占地面积 3.5m×2.7m，主体规格≥2.4m×2.4m×2.4m，冷轧板外框，配套 55 英寸显示终端、工控主机、VR 头显；整机尺寸超出实训室出入口宽度，必须拆为散件搬运。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2.拆卸要求：断电后拆分，分类防震包装，配件编号标记。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3.安装调试：按编号组装，校准 VR 头盔传感器、画面参数，整机联调达到教学实训标准。</w:t>
            </w:r>
          </w:p>
        </w:tc>
        <w:tc>
          <w:tcPr>
            <w:tcW w:w="456" w:type="dxa"/>
            <w:vAlign w:val="center"/>
          </w:tcPr>
          <w:p w14:paraId="4269A87E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2套</w:t>
            </w:r>
          </w:p>
        </w:tc>
        <w:tc>
          <w:tcPr>
            <w:tcW w:w="1243" w:type="dxa"/>
            <w:vAlign w:val="center"/>
          </w:tcPr>
          <w:p w14:paraId="6A71C124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2500</w:t>
            </w:r>
          </w:p>
        </w:tc>
        <w:tc>
          <w:tcPr>
            <w:tcW w:w="1244" w:type="dxa"/>
            <w:vAlign w:val="center"/>
          </w:tcPr>
          <w:p w14:paraId="290B5F71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5000</w:t>
            </w:r>
          </w:p>
        </w:tc>
        <w:tc>
          <w:tcPr>
            <w:tcW w:w="1190" w:type="dxa"/>
            <w:vAlign w:val="center"/>
          </w:tcPr>
          <w:p w14:paraId="345931F7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1年售后质保服务</w:t>
            </w:r>
          </w:p>
        </w:tc>
      </w:tr>
      <w:tr w:rsidR="003E5BC0" w14:paraId="3D816683" w14:textId="77777777" w:rsidTr="00637BD0">
        <w:trPr>
          <w:trHeight w:val="482"/>
          <w:jc w:val="center"/>
        </w:trPr>
        <w:tc>
          <w:tcPr>
            <w:tcW w:w="791" w:type="dxa"/>
            <w:vAlign w:val="center"/>
          </w:tcPr>
          <w:p w14:paraId="64E958B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5</w:t>
            </w:r>
          </w:p>
        </w:tc>
        <w:tc>
          <w:tcPr>
            <w:tcW w:w="1332" w:type="dxa"/>
            <w:vAlign w:val="center"/>
          </w:tcPr>
          <w:p w14:paraId="66FD70E5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VR六人虚拟仿真交互体验机</w:t>
            </w:r>
          </w:p>
        </w:tc>
        <w:tc>
          <w:tcPr>
            <w:tcW w:w="4935" w:type="dxa"/>
            <w:vAlign w:val="center"/>
          </w:tcPr>
          <w:p w14:paraId="23E0EA2B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 xml:space="preserve">1.整套含 6 台 21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寸触控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一体机、6 台 43 寸第三视角显示器、6 套 VR 头显，多工位一体化组合设备，整机尺寸超出实训室出入口宽度，需全部拆解分件转运。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2.拆卸要求：拆分各工位显示屏、主机、VR 外设、设备框架，屏幕、精密传感设备单独防震防护，配件分区编号收纳。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3.安装调试：按编号组装布线，逐台调试工控、显示、VR 交互设备，多工位同步联调，满足多人虚拟仿真实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训使用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需求。</w:t>
            </w:r>
          </w:p>
        </w:tc>
        <w:tc>
          <w:tcPr>
            <w:tcW w:w="456" w:type="dxa"/>
            <w:vAlign w:val="center"/>
          </w:tcPr>
          <w:p w14:paraId="06843975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1套</w:t>
            </w:r>
          </w:p>
        </w:tc>
        <w:tc>
          <w:tcPr>
            <w:tcW w:w="1243" w:type="dxa"/>
            <w:vAlign w:val="center"/>
          </w:tcPr>
          <w:p w14:paraId="199CFC12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12000</w:t>
            </w:r>
          </w:p>
        </w:tc>
        <w:tc>
          <w:tcPr>
            <w:tcW w:w="1244" w:type="dxa"/>
            <w:vAlign w:val="center"/>
          </w:tcPr>
          <w:p w14:paraId="367F0BB7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12000</w:t>
            </w:r>
          </w:p>
        </w:tc>
        <w:tc>
          <w:tcPr>
            <w:tcW w:w="1190" w:type="dxa"/>
            <w:vAlign w:val="center"/>
          </w:tcPr>
          <w:p w14:paraId="42F148C4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1年售后质保服务</w:t>
            </w:r>
          </w:p>
        </w:tc>
      </w:tr>
      <w:tr w:rsidR="003E5BC0" w14:paraId="38E1057A" w14:textId="77777777" w:rsidTr="00637BD0">
        <w:trPr>
          <w:trHeight w:val="482"/>
          <w:jc w:val="center"/>
        </w:trPr>
        <w:tc>
          <w:tcPr>
            <w:tcW w:w="791" w:type="dxa"/>
            <w:vAlign w:val="center"/>
          </w:tcPr>
          <w:p w14:paraId="28468B3B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35580F8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实施辅料</w:t>
            </w:r>
          </w:p>
        </w:tc>
        <w:tc>
          <w:tcPr>
            <w:tcW w:w="4935" w:type="dxa"/>
            <w:vAlign w:val="center"/>
          </w:tcPr>
          <w:p w14:paraId="0E58979F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1.新场地整体实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训区域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布局规划设计，出具标准化平面布局图、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布电布线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需求图，完成实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训区域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功能分区地面划线、通道标识、设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lastRenderedPageBreak/>
              <w:t>备定位标线、区域文字标识、安全警示分隔带粘贴施工；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2.设备安装调试配套全套辅材：六类网线、线槽、水晶头、地面分隔带、扎带、划线标识标签等全套安装耗材；保障整套物流设备硬件安装部署、系统调试、场地标准化落地完整实施。</w:t>
            </w:r>
          </w:p>
        </w:tc>
        <w:tc>
          <w:tcPr>
            <w:tcW w:w="456" w:type="dxa"/>
            <w:vAlign w:val="center"/>
          </w:tcPr>
          <w:p w14:paraId="77BD5F9D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lastRenderedPageBreak/>
              <w:t>1批</w:t>
            </w:r>
          </w:p>
        </w:tc>
        <w:tc>
          <w:tcPr>
            <w:tcW w:w="1243" w:type="dxa"/>
            <w:vAlign w:val="center"/>
          </w:tcPr>
          <w:p w14:paraId="3709F45C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2000</w:t>
            </w:r>
          </w:p>
        </w:tc>
        <w:tc>
          <w:tcPr>
            <w:tcW w:w="1244" w:type="dxa"/>
            <w:vAlign w:val="center"/>
          </w:tcPr>
          <w:p w14:paraId="13F03DAC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2000</w:t>
            </w:r>
          </w:p>
        </w:tc>
        <w:tc>
          <w:tcPr>
            <w:tcW w:w="1190" w:type="dxa"/>
            <w:vAlign w:val="center"/>
          </w:tcPr>
          <w:p w14:paraId="027AB792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/</w:t>
            </w:r>
          </w:p>
        </w:tc>
      </w:tr>
      <w:tr w:rsidR="003E5BC0" w14:paraId="411C56B6" w14:textId="77777777" w:rsidTr="00637BD0">
        <w:trPr>
          <w:trHeight w:val="482"/>
          <w:jc w:val="center"/>
        </w:trPr>
        <w:tc>
          <w:tcPr>
            <w:tcW w:w="791" w:type="dxa"/>
            <w:vAlign w:val="center"/>
          </w:tcPr>
          <w:p w14:paraId="2B9BDDF5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7</w:t>
            </w:r>
          </w:p>
        </w:tc>
        <w:tc>
          <w:tcPr>
            <w:tcW w:w="1332" w:type="dxa"/>
            <w:vAlign w:val="center"/>
          </w:tcPr>
          <w:p w14:paraId="159ED92C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搬运费</w:t>
            </w:r>
          </w:p>
        </w:tc>
        <w:tc>
          <w:tcPr>
            <w:tcW w:w="4935" w:type="dxa"/>
            <w:vAlign w:val="center"/>
          </w:tcPr>
          <w:p w14:paraId="09FE264F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1.运输场景：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原实训楼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1楼至新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实训楼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1楼，无电梯，单程转运距离约500米，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两栋楼实训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室出入口狭窄，所有中大型设备均需拆分散件后分批转运。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2.搬运覆盖设备：2台VR 行走平台、1套VR六人交互体验机、自动化立体仓库、4组存储货架、1套流利货架、2台AGV机器人、充电桩、服务器、可视化大屏、工作台、电脑、打印机、周转物料箱等全部实训设备。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3.防护规范：屏幕、精密电子设备全程防震包裹，搬运过程保护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场地环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氧地坪、墙体，无磕碰、刮擦、设备损坏情况。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4.作业范围：包含打包、短途转运、新场地设备卸车就位全流程人工及转运配套服务。</w:t>
            </w:r>
          </w:p>
        </w:tc>
        <w:tc>
          <w:tcPr>
            <w:tcW w:w="456" w:type="dxa"/>
            <w:vAlign w:val="center"/>
          </w:tcPr>
          <w:p w14:paraId="76105673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1项</w:t>
            </w:r>
          </w:p>
        </w:tc>
        <w:tc>
          <w:tcPr>
            <w:tcW w:w="1243" w:type="dxa"/>
            <w:vAlign w:val="center"/>
          </w:tcPr>
          <w:p w14:paraId="6BD16AFE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5700</w:t>
            </w:r>
          </w:p>
        </w:tc>
        <w:tc>
          <w:tcPr>
            <w:tcW w:w="1244" w:type="dxa"/>
            <w:vAlign w:val="center"/>
          </w:tcPr>
          <w:p w14:paraId="5C027DCB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5700</w:t>
            </w:r>
          </w:p>
        </w:tc>
        <w:tc>
          <w:tcPr>
            <w:tcW w:w="1190" w:type="dxa"/>
            <w:vAlign w:val="center"/>
          </w:tcPr>
          <w:p w14:paraId="66A0C7C2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/</w:t>
            </w:r>
          </w:p>
        </w:tc>
      </w:tr>
      <w:tr w:rsidR="003E5BC0" w14:paraId="2043A410" w14:textId="77777777" w:rsidTr="00637BD0">
        <w:trPr>
          <w:trHeight w:val="482"/>
          <w:jc w:val="center"/>
        </w:trPr>
        <w:tc>
          <w:tcPr>
            <w:tcW w:w="791" w:type="dxa"/>
            <w:vAlign w:val="center"/>
          </w:tcPr>
          <w:p w14:paraId="773759E8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8</w:t>
            </w:r>
          </w:p>
        </w:tc>
        <w:tc>
          <w:tcPr>
            <w:tcW w:w="1332" w:type="dxa"/>
            <w:vAlign w:val="center"/>
          </w:tcPr>
          <w:p w14:paraId="218118A9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服务费</w:t>
            </w:r>
          </w:p>
        </w:tc>
        <w:tc>
          <w:tcPr>
            <w:tcW w:w="4935" w:type="dxa"/>
            <w:vAlign w:val="center"/>
          </w:tcPr>
          <w:p w14:paraId="709BDD23" w14:textId="77777777" w:rsidR="003E5BC0" w:rsidRDefault="003E5BC0" w:rsidP="00637BD0">
            <w:pP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1.包含专业项目实施工程师全周期服务相关配套成本；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2.实施人员具备物流智能设备拆装、硬件组装、多系统软件联调、场地规划设计综合技术能力，全程跟进设备拆运、现场复装、软硬件调试、实训流程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验证全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流程工作；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3.覆盖项目实施周期内技术人员现场作业工时、跨场地交通、现场食宿、技术资料编制、售后技术支撑等全部配套服务内容；</w:t>
            </w: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br/>
              <w:t>4.服务全程提供技术答疑、设备故障现场排查、实训流程优化调试，保障搬迁后整套设备稳定达到教学实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训使用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标准，配套提供设备调试必要材料说明、操作培训指导等交付资源。</w:t>
            </w:r>
          </w:p>
        </w:tc>
        <w:tc>
          <w:tcPr>
            <w:tcW w:w="456" w:type="dxa"/>
            <w:vAlign w:val="center"/>
          </w:tcPr>
          <w:p w14:paraId="267F8E70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  <w:t>1项</w:t>
            </w:r>
          </w:p>
        </w:tc>
        <w:tc>
          <w:tcPr>
            <w:tcW w:w="1243" w:type="dxa"/>
            <w:vAlign w:val="center"/>
          </w:tcPr>
          <w:p w14:paraId="068828F2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6400</w:t>
            </w:r>
          </w:p>
        </w:tc>
        <w:tc>
          <w:tcPr>
            <w:tcW w:w="1244" w:type="dxa"/>
            <w:vAlign w:val="center"/>
          </w:tcPr>
          <w:p w14:paraId="30977F9E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6400</w:t>
            </w:r>
          </w:p>
        </w:tc>
        <w:tc>
          <w:tcPr>
            <w:tcW w:w="1190" w:type="dxa"/>
            <w:vAlign w:val="center"/>
          </w:tcPr>
          <w:p w14:paraId="3F07909D" w14:textId="77777777" w:rsidR="003E5BC0" w:rsidRDefault="003E5BC0" w:rsidP="00637BD0">
            <w:pPr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shd w:val="clear" w:color="auto" w:fill="FFFFFF"/>
                <w:lang w:bidi="ar"/>
              </w:rPr>
              <w:t>/</w:t>
            </w:r>
          </w:p>
        </w:tc>
      </w:tr>
    </w:tbl>
    <w:p w14:paraId="6B13438A" w14:textId="77777777" w:rsidR="00E51073" w:rsidRPr="003E5BC0" w:rsidRDefault="00E51073">
      <w:pPr>
        <w:spacing w:line="360" w:lineRule="auto"/>
        <w:rPr>
          <w:rFonts w:hint="eastAsia"/>
        </w:rPr>
      </w:pPr>
    </w:p>
    <w:sectPr w:rsidR="00E51073" w:rsidRPr="003E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1575D" w14:textId="77777777" w:rsidR="00B9056A" w:rsidRDefault="00B9056A" w:rsidP="003E5BC0">
      <w:pPr>
        <w:rPr>
          <w:rFonts w:hint="eastAsia"/>
        </w:rPr>
      </w:pPr>
      <w:r>
        <w:separator/>
      </w:r>
    </w:p>
  </w:endnote>
  <w:endnote w:type="continuationSeparator" w:id="0">
    <w:p w14:paraId="54B41573" w14:textId="77777777" w:rsidR="00B9056A" w:rsidRDefault="00B9056A" w:rsidP="003E5B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FA6BE" w14:textId="77777777" w:rsidR="00B9056A" w:rsidRDefault="00B9056A" w:rsidP="003E5BC0">
      <w:pPr>
        <w:rPr>
          <w:rFonts w:hint="eastAsia"/>
        </w:rPr>
      </w:pPr>
      <w:r>
        <w:separator/>
      </w:r>
    </w:p>
  </w:footnote>
  <w:footnote w:type="continuationSeparator" w:id="0">
    <w:p w14:paraId="3DF4B1B2" w14:textId="77777777" w:rsidR="00B9056A" w:rsidRDefault="00B9056A" w:rsidP="003E5B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73"/>
    <w:rsid w:val="003E5BC0"/>
    <w:rsid w:val="00B9056A"/>
    <w:rsid w:val="00C6419F"/>
    <w:rsid w:val="00E5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375287"/>
  <w15:docId w15:val="{7CCED038-1FB2-4457-B82B-40A73B96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宋体" w:eastAsia="宋体" w:hAnsi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adjustRightInd w:val="0"/>
      <w:spacing w:line="360" w:lineRule="auto"/>
      <w:jc w:val="both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line="360" w:lineRule="auto"/>
      <w:jc w:val="both"/>
      <w:outlineLvl w:val="1"/>
    </w:pPr>
    <w:rPr>
      <w:b/>
      <w:bCs/>
      <w:kern w:val="2"/>
      <w:sz w:val="30"/>
      <w:szCs w:val="3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adjustRightInd w:val="0"/>
      <w:spacing w:line="360" w:lineRule="auto"/>
      <w:jc w:val="both"/>
      <w:outlineLvl w:val="2"/>
    </w:pPr>
    <w:rPr>
      <w:b/>
      <w:bCs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line="360" w:lineRule="auto"/>
      <w:jc w:val="both"/>
      <w:outlineLvl w:val="3"/>
    </w:pPr>
    <w:rPr>
      <w:b/>
      <w:bCs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line="360" w:lineRule="auto"/>
      <w:jc w:val="both"/>
      <w:outlineLvl w:val="4"/>
    </w:pPr>
    <w:rPr>
      <w:b/>
      <w:bCs/>
      <w:kern w:val="2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line="360" w:lineRule="auto"/>
      <w:jc w:val="both"/>
      <w:outlineLvl w:val="5"/>
    </w:pPr>
    <w:rPr>
      <w:kern w:val="2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widowControl w:val="0"/>
      <w:spacing w:before="40" w:line="360" w:lineRule="auto"/>
      <w:jc w:val="both"/>
      <w:outlineLvl w:val="6"/>
    </w:pPr>
    <w:rPr>
      <w:rFonts w:ascii="等线" w:eastAsia="等线" w:hAnsi="等线"/>
      <w:b/>
      <w:bCs/>
      <w:color w:val="595959"/>
      <w:kern w:val="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widowControl w:val="0"/>
      <w:spacing w:line="360" w:lineRule="auto"/>
      <w:jc w:val="both"/>
      <w:outlineLvl w:val="7"/>
    </w:pPr>
    <w:rPr>
      <w:rFonts w:ascii="等线" w:eastAsia="等线" w:hAnsi="等线"/>
      <w:color w:val="595959"/>
      <w:kern w:val="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widowControl w:val="0"/>
      <w:spacing w:line="360" w:lineRule="auto"/>
      <w:jc w:val="both"/>
      <w:outlineLvl w:val="8"/>
    </w:pPr>
    <w:rPr>
      <w:rFonts w:ascii="等线" w:eastAsia="等线 Light" w:hAnsi="等线"/>
      <w:color w:val="595959"/>
      <w:kern w:val="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sz w:val="32"/>
      <w:szCs w:val="32"/>
      <w14:ligatures w14:val="none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sz w:val="30"/>
      <w:szCs w:val="30"/>
      <w14:ligatures w14:val="none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sz w:val="28"/>
      <w:szCs w:val="28"/>
      <w14:ligatures w14:val="none"/>
    </w:rPr>
  </w:style>
  <w:style w:type="character" w:customStyle="1" w:styleId="40">
    <w:name w:val="标题 4 字符"/>
    <w:basedOn w:val="a0"/>
    <w:link w:val="4"/>
    <w:uiPriority w:val="9"/>
    <w:rPr>
      <w:rFonts w:ascii="宋体" w:eastAsia="宋体" w:hAnsi="宋体" w:cs="宋体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rFonts w:ascii="宋体" w:eastAsia="宋体" w:hAnsi="宋体" w:cs="宋体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Pr>
      <w:rFonts w:ascii="宋体" w:eastAsia="宋体" w:hAnsi="宋体" w:cs="宋体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pPr>
      <w:widowControl w:val="0"/>
      <w:spacing w:line="360" w:lineRule="auto"/>
      <w:contextualSpacing/>
      <w:jc w:val="center"/>
    </w:pPr>
    <w:rPr>
      <w:b/>
      <w:bCs/>
      <w:spacing w:val="-10"/>
      <w:kern w:val="28"/>
      <w:sz w:val="36"/>
      <w:szCs w:val="36"/>
    </w:rPr>
  </w:style>
  <w:style w:type="character" w:customStyle="1" w:styleId="a4">
    <w:name w:val="标题 字符"/>
    <w:basedOn w:val="a0"/>
    <w:link w:val="a3"/>
    <w:uiPriority w:val="10"/>
    <w:qFormat/>
    <w:rPr>
      <w:rFonts w:ascii="宋体" w:eastAsia="宋体" w:hAnsi="宋体" w:cs="宋体"/>
      <w:b/>
      <w:bCs/>
      <w:spacing w:val="-10"/>
      <w:kern w:val="28"/>
      <w:sz w:val="36"/>
      <w:szCs w:val="36"/>
    </w:rPr>
  </w:style>
  <w:style w:type="character" w:customStyle="1" w:styleId="70">
    <w:name w:val="标题 7 字符"/>
    <w:basedOn w:val="a0"/>
    <w:link w:val="7"/>
    <w:uiPriority w:val="9"/>
    <w:rPr>
      <w:rFonts w:cs="宋体"/>
      <w:b/>
      <w:bCs/>
      <w:color w:val="595959"/>
      <w:sz w:val="24"/>
      <w14:ligatures w14:val="none"/>
    </w:rPr>
  </w:style>
  <w:style w:type="character" w:customStyle="1" w:styleId="80">
    <w:name w:val="标题 8 字符"/>
    <w:basedOn w:val="a0"/>
    <w:link w:val="8"/>
    <w:uiPriority w:val="9"/>
    <w:rPr>
      <w:rFonts w:cs="宋体"/>
      <w:color w:val="595959"/>
      <w:sz w:val="24"/>
      <w14:ligatures w14:val="none"/>
    </w:rPr>
  </w:style>
  <w:style w:type="character" w:customStyle="1" w:styleId="90">
    <w:name w:val="标题 9 字符"/>
    <w:basedOn w:val="a0"/>
    <w:link w:val="9"/>
    <w:uiPriority w:val="9"/>
    <w:rPr>
      <w:rFonts w:eastAsia="等线 Light" w:cs="宋体"/>
      <w:color w:val="595959"/>
      <w:sz w:val="24"/>
      <w14:ligatures w14:val="none"/>
    </w:rPr>
  </w:style>
  <w:style w:type="paragraph" w:styleId="a5">
    <w:name w:val="Subtitle"/>
    <w:basedOn w:val="a"/>
    <w:next w:val="a"/>
    <w:link w:val="a6"/>
    <w:uiPriority w:val="11"/>
    <w:qFormat/>
    <w:pPr>
      <w:widowControl w:val="0"/>
      <w:numPr>
        <w:ilvl w:val="1"/>
      </w:numPr>
      <w:spacing w:after="160" w:line="360" w:lineRule="auto"/>
      <w:jc w:val="center"/>
    </w:pPr>
    <w:rPr>
      <w:rFonts w:ascii="等线 Light" w:eastAsia="等线 Light" w:hAnsi="等线 Light"/>
      <w:color w:val="595959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Pr>
      <w:rFonts w:ascii="等线 Light" w:eastAsia="等线 Light" w:hAnsi="等线 Light" w:cs="宋体"/>
      <w:color w:val="595959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pPr>
      <w:widowControl w:val="0"/>
      <w:spacing w:before="160" w:after="160" w:line="360" w:lineRule="auto"/>
      <w:jc w:val="center"/>
    </w:pPr>
    <w:rPr>
      <w:i/>
      <w:iCs/>
      <w:color w:val="404040"/>
      <w:kern w:val="2"/>
    </w:rPr>
  </w:style>
  <w:style w:type="character" w:customStyle="1" w:styleId="a8">
    <w:name w:val="引用 字符"/>
    <w:basedOn w:val="a0"/>
    <w:link w:val="a7"/>
    <w:uiPriority w:val="29"/>
    <w:rPr>
      <w:rFonts w:ascii="宋体" w:eastAsia="宋体" w:hAnsi="宋体" w:cs="宋体"/>
      <w:i/>
      <w:iCs/>
      <w:color w:val="404040"/>
      <w:sz w:val="24"/>
      <w14:ligatures w14:val="none"/>
    </w:rPr>
  </w:style>
  <w:style w:type="paragraph" w:styleId="a9">
    <w:name w:val="List Paragraph"/>
    <w:basedOn w:val="a"/>
    <w:uiPriority w:val="34"/>
    <w:qFormat/>
    <w:pPr>
      <w:widowControl w:val="0"/>
      <w:spacing w:line="360" w:lineRule="auto"/>
      <w:ind w:left="720"/>
      <w:contextualSpacing/>
      <w:jc w:val="both"/>
    </w:pPr>
    <w:rPr>
      <w:kern w:val="2"/>
    </w:rPr>
  </w:style>
  <w:style w:type="character" w:styleId="aa">
    <w:name w:val="Intense Emphasis"/>
    <w:basedOn w:val="a0"/>
    <w:uiPriority w:val="21"/>
    <w:qFormat/>
    <w:rPr>
      <w:i/>
      <w:iCs/>
      <w:color w:val="2F5496"/>
    </w:rPr>
  </w:style>
  <w:style w:type="paragraph" w:styleId="ab">
    <w:name w:val="Intense Quote"/>
    <w:basedOn w:val="a"/>
    <w:next w:val="a"/>
    <w:link w:val="ac"/>
    <w:uiPriority w:val="30"/>
    <w:qFormat/>
    <w:pPr>
      <w:widowControl w:val="0"/>
      <w:pBdr>
        <w:top w:val="single" w:sz="4" w:space="10" w:color="2F5496"/>
        <w:bottom w:val="single" w:sz="4" w:space="10" w:color="2F5496"/>
      </w:pBdr>
      <w:spacing w:before="360" w:after="360" w:line="360" w:lineRule="auto"/>
      <w:ind w:left="864" w:right="864"/>
      <w:jc w:val="center"/>
    </w:pPr>
    <w:rPr>
      <w:i/>
      <w:iCs/>
      <w:color w:val="2F5496"/>
      <w:kern w:val="2"/>
    </w:rPr>
  </w:style>
  <w:style w:type="character" w:customStyle="1" w:styleId="ac">
    <w:name w:val="明显引用 字符"/>
    <w:basedOn w:val="a0"/>
    <w:link w:val="ab"/>
    <w:uiPriority w:val="30"/>
    <w:rPr>
      <w:rFonts w:ascii="宋体" w:eastAsia="宋体" w:hAnsi="宋体" w:cs="宋体"/>
      <w:i/>
      <w:iCs/>
      <w:color w:val="2F5496"/>
      <w:sz w:val="24"/>
      <w14:ligatures w14:val="none"/>
    </w:rPr>
  </w:style>
  <w:style w:type="character" w:styleId="ad">
    <w:name w:val="Intense Reference"/>
    <w:basedOn w:val="a0"/>
    <w:uiPriority w:val="32"/>
    <w:qFormat/>
    <w:rPr>
      <w:b/>
      <w:bCs/>
      <w:smallCaps/>
      <w:color w:val="2F5496"/>
      <w:spacing w:val="5"/>
    </w:rPr>
  </w:style>
  <w:style w:type="paragraph" w:styleId="ae">
    <w:name w:val="header"/>
    <w:basedOn w:val="a"/>
    <w:link w:val="af"/>
    <w:uiPriority w:val="99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Pr>
      <w:rFonts w:ascii="宋体" w:eastAsia="宋体" w:hAnsi="宋体" w:cs="宋体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Pr>
      <w:rFonts w:ascii="宋体" w:eastAsia="宋体" w:hAnsi="宋体" w:cs="宋体"/>
      <w:sz w:val="18"/>
      <w:szCs w:val="18"/>
      <w14:ligatures w14:val="none"/>
    </w:rPr>
  </w:style>
  <w:style w:type="character" w:customStyle="1" w:styleId="font11">
    <w:name w:val="font11"/>
    <w:basedOn w:val="a0"/>
    <w:rPr>
      <w:rFonts w:ascii="宋体" w:eastAsia="宋体" w:hAnsi="宋体" w:hint="eastAsia"/>
      <w:b/>
      <w:bCs/>
      <w:i w:val="0"/>
      <w:iCs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a0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1364</Words>
  <Characters>1475</Characters>
  <Application>Microsoft Office Word</Application>
  <DocSecurity>0</DocSecurity>
  <Lines>184</Lines>
  <Paragraphs>157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sitian liang</dc:creator>
  <cp:lastModifiedBy>黄祁huangqi 黄祁huangqi</cp:lastModifiedBy>
  <cp:revision>23</cp:revision>
  <dcterms:created xsi:type="dcterms:W3CDTF">2026-08-06T12:42:00Z</dcterms:created>
  <dcterms:modified xsi:type="dcterms:W3CDTF">2026-08-07T07:56:00Z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245454eaf03f4d70afb4030f9dbe2b84</vt:lpwstr>
  </property>
</Properties>
</file>